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070"/>
      </w:tblGrid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2110 "Выручка",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907"/>
        <w:gridCol w:w="141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424 855 009,53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-70 762 310,22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354 092 699,31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46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2120 "Себестоимость продаж",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141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267 309 975,30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267 309 975,30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51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2210 "Коммерческие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130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32 399 996,92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32 399 996,92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654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2220 "Управленческие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42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195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2310 "Доходы от участия в других организациях",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889"/>
        <w:gridCol w:w="42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"Участие в других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"Долевое участие в иностранных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"Долевое участие в российских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47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2320 "Проценты к получению",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82"/>
        <w:gridCol w:w="1029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154 173,23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по государственным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по государственным ценным бумагам по ставке 0%"/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154 173,23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052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2330 "Проценты к уплате",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889"/>
        <w:gridCol w:w="42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"Проценты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"Проценты, начисленные в соответствии со статьей 269"/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747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2340 "Прочие доходы",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09"/>
        <w:gridCol w:w="130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"Ликвидация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нематериальных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объектов строительства"/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прочего имущества"/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772 000,00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как оказания финансовых услуг"/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до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после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имущественных прав кроме права требования"/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имущественных прав по объектам обслуживающих производств и хозяйств"/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ценных бумаг"/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"Операции с финансовыми инструментами срочных сделок, не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"Операции с финансовыми инструментами срочных сделок,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"Сдача имущества в аренду или субаренду"/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268 474,56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"Отчисления в оценочные резервы"/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14 916 862,06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"Разница между первоначальной и номинальной стоимостью по долговым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"Прочие операционные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"Штрафы, пени и неустойки по хозяйственным договорам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"Прибыль (убыток) прошлых лет"/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"Возмещение убытков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"Курсовые разницы"/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3 265 953,09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"Курсовые разницы по расчетам в у.е."/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"Списание дебиторской (кредиторской)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"Безвозмездное получение имущества, работ, услуг, имущественных прав"/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294 718,13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"Прочие внереализационные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140 215,92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"Восстановление амортизационной премии"/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"Излишки товаров, выявленные в результате инвентаризации"/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99.01 /субконто "Чрезвычайные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кредиту счета 91.01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01, 03,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дебету счета 91.02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02,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"Корректировка прибыли до рыночных цен"/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"Корректировка прибыли до рыночных цен"/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19 613 478,04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822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2350 "Прочие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09"/>
        <w:gridCol w:w="130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"Участие в других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"Долевое участие в российских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"Долевое участие в иностранных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"Ликвидация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ценных бумаг"/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"Операции с финансовыми инструментами срочных сделок, не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"Операции с финансовыми инструментами срочных сделок,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"Отчисления в оценочные резервы"/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20 419 401,97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"Разница между первоначальной и номинальной стоимостью по долговым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на услуги банков"/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387 649,46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"Возмещение убытков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"Курсовые разницы"/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3 223 369,95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"Курсовые разницы по расчетам в у.е."/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"Налоги и сборы"/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"Премия, выплаченная покупателю"/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"Списание дебиторской (кредиторской)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"НДС по списанной кредиторской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"Безвозмездное получение имущества, работ, услуг, имущественных прав"/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95 808,71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по передаче товаров (работ, услуг) безвозмездно и для собственных нужд"/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958 727,01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от снижения стоимости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косвенные расходы"/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222 258,65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косвенные расходы"/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-128 666,67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"Чрезвычайные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дебету счета 91.02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01, 03,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кредиту счета 91.01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02,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убытки, приравненные к внереализационным расходам"/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убытки, приравненные к внереализационным расходам"/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25 178 549,08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975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2410 "Налог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621"/>
        <w:gridCol w:w="1369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12 888 755,26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-12 888 755,26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1 373 821,73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-11 514 933,53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-10 141 111,80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805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2411 "текущий 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55"/>
        <w:gridCol w:w="1190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68.04.1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9 776 886,00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68.04.1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99.02.Т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9 776 886,00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197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2412 "отложенный 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23"/>
        <w:gridCol w:w="1256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2 735 055,33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-1 809 902,63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99.02.4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99.02.4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99.02.4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99.02.4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99.02.О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925 152,70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968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2460 "Прочее",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78"/>
        <w:gridCol w:w="123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"Налог на прибыль и аналогичные платежи"/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"Налог на прибыль и аналогичные платежи"/ в корреспонденции со счетом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"Причитающиеся налоговые санкции"/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6 454,55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 в кредит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1 445 323,13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19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5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 xml:space="preserve">Строка 2510 "Результат от переоценки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активов, не включаемый в чистую прибыль (убыток) периода",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43"/>
        <w:gridCol w:w="42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83.01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83.01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19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5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ED7060">
              <w:t>Строка 2530 "Налог на прибыль от операций, результат которых не включается в чистую прибыль (убыток) период",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43"/>
        <w:gridCol w:w="42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83.01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83.01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33B2" w:rsidRDefault="00ED33B2">
      <w:bookmarkStart w:id="0" w:name="_GoBack"/>
      <w:bookmarkEnd w:id="0"/>
    </w:p>
    <w:sectPr w:rsidR="00E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0"/>
    <w:rsid w:val="00ED33B2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D9E7-5175-4942-BF8E-84827AC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3592</Words>
  <Characters>20479</Characters>
  <Application>Microsoft Office Word</Application>
  <DocSecurity>0</DocSecurity>
  <Lines>170</Lines>
  <Paragraphs>48</Paragraphs>
  <ScaleCrop>false</ScaleCrop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Белеванцева</dc:creator>
  <cp:keywords/>
  <dc:description/>
  <cp:lastModifiedBy>Галина Белеванцева</cp:lastModifiedBy>
  <cp:revision>2</cp:revision>
  <dcterms:created xsi:type="dcterms:W3CDTF">2020-03-31T04:00:00Z</dcterms:created>
  <dcterms:modified xsi:type="dcterms:W3CDTF">2020-03-31T04:03:00Z</dcterms:modified>
</cp:coreProperties>
</file>